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7D59A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AA384E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3EED7E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29B67E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4AD0B3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351D18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AA1928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14:paraId="1293DB8A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MINISTARSTVO KULTURE I MEDIJA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RKDP: 22347</w:t>
      </w:r>
    </w:p>
    <w:p w14:paraId="4D5A05F6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RAZDJEL: 55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MB: 1425684</w:t>
      </w:r>
    </w:p>
    <w:p w14:paraId="11A39D7D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GLAVA: 10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ŠIFRA: 92521</w:t>
      </w:r>
    </w:p>
    <w:p w14:paraId="4CDD8632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JAVNA USTANOVA ZBIRKA UMJETNINA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IBAN:</w:t>
      </w:r>
    </w:p>
    <w:p w14:paraId="6972186F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ANTE I WILTRUDE TOPIĆ MIMARA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HR 0723600001101211756</w:t>
      </w:r>
    </w:p>
    <w:p w14:paraId="59204638" w14:textId="77777777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OIB: 78141312758</w:t>
      </w:r>
    </w:p>
    <w:p w14:paraId="4632C1C3" w14:textId="77777777" w:rsidR="002D4F7C" w:rsidRDefault="002D4F7C">
      <w:pPr>
        <w:rPr>
          <w:rFonts w:ascii="Times New Roman" w:hAnsi="Times New Roman"/>
          <w:sz w:val="24"/>
          <w:szCs w:val="24"/>
        </w:rPr>
      </w:pPr>
    </w:p>
    <w:p w14:paraId="24403381" w14:textId="77777777" w:rsidR="002D4F7C" w:rsidRDefault="00E96805">
      <w:pPr>
        <w:ind w:left="57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Zagrebu, 5. srpnja 2024.</w:t>
      </w:r>
    </w:p>
    <w:p w14:paraId="4E049149" w14:textId="77777777" w:rsidR="002D4F7C" w:rsidRDefault="002D4F7C">
      <w:pPr>
        <w:rPr>
          <w:rFonts w:ascii="Times New Roman" w:hAnsi="Times New Roman" w:cs="Times New Roman"/>
          <w:b/>
          <w:sz w:val="24"/>
          <w:szCs w:val="24"/>
        </w:rPr>
      </w:pPr>
    </w:p>
    <w:p w14:paraId="20468AEB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4C1457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B52591" w14:textId="77777777" w:rsidR="002D4F7C" w:rsidRDefault="00E968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POLUGODIŠNJEG IZVJEŠTAJA O IZVRŠENJU FINANCIJSKOG PLANA PRORAČUNSKOG KORISNIKA</w:t>
      </w:r>
    </w:p>
    <w:p w14:paraId="126F3552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D5830" w14:textId="77777777" w:rsidR="002D4F7C" w:rsidRDefault="00E968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OBRAZLOŽENJE OPĆEG DIJELA</w:t>
      </w:r>
    </w:p>
    <w:p w14:paraId="4B0D1BA1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E9C26F" w14:textId="77777777" w:rsidR="002D4F7C" w:rsidRDefault="002D4F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D4F916" w14:textId="77777777" w:rsidR="002D4F7C" w:rsidRDefault="00E9680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Obrazloženje ostvarenja prihoda i rashoda, primitaka i izdataka u izvještajnom razdoblju</w:t>
      </w:r>
    </w:p>
    <w:p w14:paraId="2F6495E3" w14:textId="77777777" w:rsidR="002D4F7C" w:rsidRDefault="002D4F7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D6F796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Ukupni prihod iznosi 12.731.864,25 eura, a u prošloj godini u istom razdoblju prihod je iznosio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4.853.190,28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  <w:r>
        <w:rPr>
          <w:rFonts w:ascii="Times New Roman" w:hAnsi="Times New Roman"/>
          <w:sz w:val="24"/>
          <w:szCs w:val="24"/>
        </w:rPr>
        <w:t>U odnosu na isto razdoblje prethodne godine to je za 162,3 % više (index 262,3).</w:t>
      </w:r>
    </w:p>
    <w:p w14:paraId="11E51255" w14:textId="46FF6158" w:rsidR="002D4F7C" w:rsidRDefault="00E96805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Značajno povećanje prihoda  odnosi se na  sredstva isplaćena temeljem IV Dodatka ugovoru  o dodjeli bespovratnih financijskih sredstava broj: 74-0067-21 od 21. siječnja 2024. godine  za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provedbu operacije „Izrada projektne dokumentacije i provedba mjera zaštite zgrade Muzeja Mimara, Rooseveltov trg 5, Zagreb” koji je potpisan između muzeja i Ministarstva kulture i medija. Temeljem istog ugovora, njegovog IV Dodatka, ispaćen je iznos od 10.798.125 eura koji je evidentiran na šifri 6394 - kapitalni prijenosi između proračunskih korisnika istog proračuna temeljem prijenosa EU sredstava. Za sanaciju i obnovu zgrade muzeja također je primljeno  1.472.038,68 eura iskazana na šifri 6392 - Kapitalni prijenosi između proračunskih korisnika istog proračuna. Navedeni iznosi primljeni za obnovu u strukturi ukupnih prihoda čine 96,4%. Posebno napominjemo da je već spomenutim dodatkom ugovoru rok, razdoblje operacije, utvrđeno do 30.06.2024. godine. </w:t>
      </w:r>
    </w:p>
    <w:p w14:paraId="1BFCFC61" w14:textId="7B51F2B3" w:rsidR="002D4F7C" w:rsidRPr="00F970DC" w:rsidRDefault="00E96805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 Financijskom planu muzeja usvojenom u prosincu 2023. godine planirani prihodi u iznosu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1.217.314,00  eura  odnose se na plan prihoda redovite i programske djelatnosti dok su radi specifičnosti prihodi i rashodi potrebni za obnovu i sanaciju potresima oštećene zgrade muzeja isključeni iz predloženog plana unesenog u sustav.</w:t>
      </w:r>
      <w:r w:rsidR="0066563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970DC">
        <w:rPr>
          <w:rFonts w:ascii="Times New Roman" w:hAnsi="Times New Roman"/>
          <w:sz w:val="24"/>
          <w:szCs w:val="24"/>
        </w:rPr>
        <w:t>Radi navedenog analiza podatka i komparacija  realizacije u odnosu na plan  na tim pozicijama ne daje relevantne pokazatelje.</w:t>
      </w:r>
    </w:p>
    <w:p w14:paraId="536AE33D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iz nadležnog proračuna za financiranje rashoda poslovanja iznose 453.475,57 eura i odnose se na financiranje redovite djelatnosti muzeja kao i realizaciju prihvaćenih programa.  U odnosu na isto razdoblje prošle godine ostvareni prihodi su veći za 27,7 %. U odnosu na planirane prihode u prvoj polovici godine realizirano je 37,9 % plana. </w:t>
      </w:r>
    </w:p>
    <w:p w14:paraId="469C785F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ime izvršenja programa od Grada Zagreba koji </w:t>
      </w:r>
      <w:proofErr w:type="spellStart"/>
      <w:r>
        <w:rPr>
          <w:rFonts w:ascii="Times New Roman" w:hAnsi="Times New Roman"/>
          <w:sz w:val="24"/>
          <w:szCs w:val="24"/>
        </w:rPr>
        <w:t>sufinacira</w:t>
      </w:r>
      <w:proofErr w:type="spellEnd"/>
      <w:r>
        <w:rPr>
          <w:rFonts w:ascii="Times New Roman" w:hAnsi="Times New Roman"/>
          <w:sz w:val="24"/>
          <w:szCs w:val="24"/>
        </w:rPr>
        <w:t xml:space="preserve"> programsku djelatnost muzeja primljen je iznos od 8.225,00 eura.  Ostvareni prihodi su na toj poziciji  veći su za 44,2 %  u odnosu na isto razdoblje prošle godine, dok je  plan ostvaren sa 57 %.</w:t>
      </w:r>
    </w:p>
    <w:p w14:paraId="7BC2ACD9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Radi uvjeta u kojima muzej posluje financijskim planom predviđeno je da će se realizirati minimalni vlastiti prihodi u  iznosu 5.100 eura. U prvoj polovini godine na toj poziciji nije bilo realizacije.</w:t>
      </w:r>
    </w:p>
    <w:p w14:paraId="766E06F3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sagledavanja kretanja prihoda i rashoda u odnosu na planirane veličine potrebno je uzeti u obzir činjenicu da je plan izrađen na godišnjoj razini, a iskazane pozicije izvršenja  obuhvaćaju polugodišnje razdoblje. Prilikom analize i sagledavanja kretanja ukupnih rashoda poslovanja također je ponovo potrebno naglasiti činjenicu da u financijskom planu, usvojenom u prosincu 2023. godine, nisu obuhvaćeni rashodi za dodatna ulaganja na građevinskim objektima.</w:t>
      </w:r>
    </w:p>
    <w:p w14:paraId="760D9DDF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prvom polugodištu 2024. godine ostvareni su ukupni rashodi u iznosu 2.932.980,64 eura, u prošloj godini iznosili su 4.249.280,26 eura. Indeks u odnosu na prošlu godinu je 69,0, a u odnosu na plan 240,9.</w:t>
      </w:r>
    </w:p>
    <w:p w14:paraId="036E6F1F" w14:textId="4E4651F9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Rashodi poslovanja iznose 492.558,07 eura,</w:t>
      </w:r>
      <w:r w:rsidR="005E3B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u prošloj godini u istom razdoblju iznosili su 410.489,36 eura. Indeks u odnosu na prošlu godinu iznosi 120,0, a indeks u odnosu na plan je 40,9. </w:t>
      </w:r>
      <w:r>
        <w:rPr>
          <w:rFonts w:ascii="Times New Roman" w:hAnsi="Times New Roman"/>
          <w:sz w:val="24"/>
          <w:szCs w:val="24"/>
        </w:rPr>
        <w:t xml:space="preserve">Kao pozitivnu posljedicu primjene Zakona o plaćama valja istaknuti činjenicu da su rashodi za zaposlene, koji iznose 228.474,98 eura, veći  za 18,4 % u odnosu na isto razdoblje 2023. godine, iako je radi odlaska u mirovnu broj zaposlenih smanjen. Trenutno u Muzeju radi 18 djelatnika. Na toj poziciji indeks realizacije u odnosu na plan iznosi 50,3. Materijalni rashodi iskazani na skupini 32 iznose 263.663,82 eura i također su za 21,5 % veći nego lani. Indeks realizacije u odnosu na plan za ovu grupu rashoda je 35,2. Takvo kretanje rashoda djelomice je posljedica rasta cijena, a djelomice promjene u  načinu poslovanja budući da muzej radi na privremenoj lokaciji i plaća zakupninu  za korištenje prostora. Značajno povećanje rashoda </w:t>
      </w:r>
      <w:r>
        <w:rPr>
          <w:rFonts w:ascii="Times New Roman" w:hAnsi="Times New Roman"/>
          <w:sz w:val="24"/>
          <w:szCs w:val="24"/>
        </w:rPr>
        <w:lastRenderedPageBreak/>
        <w:t>nastalo je radi premija osiguranja koje su plaćene u iznosu 58.328,25 eura (index 1 986,2) što je posljedica izmještanja muzeja na privremenu lokaciju i potrebe osiguranja fundusa. Važno je napomenuti da su ti rashodi planirani u iznosu 121.600,00 eura tako da realizaciji u prvom polugodištu odgovara polovica planiranog iznosa.</w:t>
      </w:r>
      <w:r>
        <w:rPr>
          <w:rFonts w:ascii="Times New Roman" w:hAnsi="Times New Roman"/>
          <w:color w:val="C9211E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U odnosu na planirane vrijednosti značajno odstupanje nalazimo na poziciji komunalnih usluga, nastali rashodi iznose 9.974,09 eura, indeks ostvarenja u odnosu na plan je 131,2 . Na toj poziciji evidentiraju se troškovi opskrbe vodom, iznošenje i odvoz smeća, dimnjačarske i ostale komunalne usluge, obzirom da je planirani iznos od 7.600 eura već u cijelosti utrošen prilikom rebalansa financijskog plana izvršiti ćemo usklađenje navedene pozicije. U okviru rashoda redovnog poslovanja nema drugih materijalno značajnih odstupanja.</w:t>
      </w:r>
    </w:p>
    <w:p w14:paraId="3EA9BC86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Rashodi za nabavu nefinancijske imovine nastali su u iznosu od 2.440.422,57 eura, a uglavnom se odnose na dodatna ulaganja na građevinskim objektima . Rashodi vezani uz ulaganja na </w:t>
      </w:r>
      <w:proofErr w:type="spellStart"/>
      <w:r>
        <w:rPr>
          <w:rFonts w:ascii="Times New Roman" w:hAnsi="Times New Roman"/>
          <w:sz w:val="24"/>
          <w:szCs w:val="24"/>
        </w:rPr>
        <w:t>šfiri</w:t>
      </w:r>
      <w:proofErr w:type="spellEnd"/>
      <w:r>
        <w:rPr>
          <w:rFonts w:ascii="Times New Roman" w:hAnsi="Times New Roman"/>
          <w:sz w:val="24"/>
          <w:szCs w:val="24"/>
        </w:rPr>
        <w:t xml:space="preserve"> 451 iskazani su u iznosu 2.436.174,53  eura  i za 35,8 % su manji nego u istom razdoblju prošle godine (index 64,2). Ovi rashodi nastaju kao posljedica građevinskih i drugih radova na obnovi zgrade muzeja i u neposrednoj su povezanosti s njihovom dinamikom, kao i provođenjem postupaka javne nabave. Analiza u odnosu na planirane vrijednosti iz već rečenih razloga nije adekvatna. Ostala ulaganja za koja su rashodi iskazani na klasi 4 odnose se na komunikacijsku opremu i uredski namještaj  i  iznose 4.248,04 eura.</w:t>
      </w:r>
    </w:p>
    <w:p w14:paraId="10B2265E" w14:textId="77777777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 novčanih sredstava na početku razdoblja iznosi 1.106.826,44 eura, te na kraju razdoblja 10.831.451,78 eura.</w:t>
      </w:r>
    </w:p>
    <w:p w14:paraId="1D7694C8" w14:textId="77C21165" w:rsidR="002D4F7C" w:rsidRPr="00B21DF8" w:rsidRDefault="005B55BE">
      <w:pPr>
        <w:jc w:val="both"/>
        <w:rPr>
          <w:rFonts w:ascii="Times New Roman" w:hAnsi="Times New Roman"/>
          <w:sz w:val="24"/>
          <w:szCs w:val="24"/>
        </w:rPr>
      </w:pPr>
      <w:r w:rsidRPr="00B21DF8">
        <w:rPr>
          <w:rFonts w:ascii="Times New Roman" w:hAnsi="Times New Roman" w:cs="Times New Roman"/>
          <w:sz w:val="24"/>
          <w:szCs w:val="24"/>
        </w:rPr>
        <w:t xml:space="preserve">Nakon hitne konstrukcijske obnove završene u prosincu 2023. </w:t>
      </w:r>
      <w:r w:rsidR="001C2C28" w:rsidRPr="00B21DF8">
        <w:rPr>
          <w:rFonts w:ascii="Times New Roman" w:hAnsi="Times New Roman" w:cs="Times New Roman"/>
          <w:sz w:val="24"/>
          <w:szCs w:val="24"/>
        </w:rPr>
        <w:t>proveden</w:t>
      </w:r>
      <w:r w:rsidRPr="00B21DF8">
        <w:rPr>
          <w:rFonts w:ascii="Times New Roman" w:hAnsi="Times New Roman" w:cs="Times New Roman"/>
          <w:sz w:val="24"/>
          <w:szCs w:val="24"/>
        </w:rPr>
        <w:t xml:space="preserve"> je</w:t>
      </w:r>
      <w:r w:rsidR="001C2C28" w:rsidRPr="00B21DF8">
        <w:rPr>
          <w:rFonts w:ascii="Times New Roman" w:hAnsi="Times New Roman" w:cs="Times New Roman"/>
          <w:sz w:val="24"/>
          <w:szCs w:val="24"/>
        </w:rPr>
        <w:t xml:space="preserve"> natječaj </w:t>
      </w:r>
      <w:r w:rsidRPr="00B21DF8">
        <w:rPr>
          <w:rFonts w:ascii="Times New Roman" w:hAnsi="Times New Roman" w:cs="Times New Roman"/>
          <w:sz w:val="24"/>
          <w:szCs w:val="24"/>
        </w:rPr>
        <w:t xml:space="preserve">16. veljače i potpisan </w:t>
      </w:r>
      <w:r w:rsidRPr="00B21DF8">
        <w:rPr>
          <w:rFonts w:ascii="Times New Roman" w:hAnsi="Times New Roman" w:cs="Times New Roman"/>
          <w:i/>
          <w:iCs/>
          <w:sz w:val="24"/>
          <w:szCs w:val="24"/>
        </w:rPr>
        <w:t>Ugovor o javnoj nabavi – Građevinski radovi za nastavak konstrukcijske obnove te cjelovite i energetske obnove</w:t>
      </w:r>
      <w:r w:rsidRPr="00B21DF8">
        <w:rPr>
          <w:rFonts w:ascii="Times New Roman" w:hAnsi="Times New Roman" w:cs="Times New Roman"/>
          <w:sz w:val="24"/>
          <w:szCs w:val="24"/>
        </w:rPr>
        <w:t xml:space="preserve"> sa firmama ING-GRAD D.O.O. i MONTE-MOMT d.o.o., kojim su se izvođači obvezali završiti sa radovima u roku od 20 mjeseci. Izvršen je i natječaj za poslove stručnog nadzora te je na natječaju odabrana tvrtka INTERKONZALTING d.o.o. O nastavku radova odmah je obaviješten Gradski zavod za zaštitu spomenika kulture i prirode te smo zatražili imenovanje konzervatorskog nadzora nad izvođenjem spomenutih radova. Imenovan je g. Luka Margetić, a u slučaju njegove o</w:t>
      </w:r>
      <w:r w:rsidR="00155733">
        <w:rPr>
          <w:rFonts w:ascii="Times New Roman" w:hAnsi="Times New Roman" w:cs="Times New Roman"/>
          <w:sz w:val="24"/>
          <w:szCs w:val="24"/>
        </w:rPr>
        <w:t>d</w:t>
      </w:r>
      <w:r w:rsidRPr="00B21DF8">
        <w:rPr>
          <w:rFonts w:ascii="Times New Roman" w:hAnsi="Times New Roman" w:cs="Times New Roman"/>
          <w:sz w:val="24"/>
          <w:szCs w:val="24"/>
        </w:rPr>
        <w:t xml:space="preserve">sutnosti imenovana je gđa dr. sc. Marijana </w:t>
      </w:r>
      <w:proofErr w:type="spellStart"/>
      <w:r w:rsidRPr="00B21DF8">
        <w:rPr>
          <w:rFonts w:ascii="Times New Roman" w:hAnsi="Times New Roman" w:cs="Times New Roman"/>
          <w:sz w:val="24"/>
          <w:szCs w:val="24"/>
        </w:rPr>
        <w:t>Sironić</w:t>
      </w:r>
      <w:proofErr w:type="spellEnd"/>
      <w:r w:rsidRPr="00B21DF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21DF8" w:rsidRPr="00B21DF8">
        <w:rPr>
          <w:rFonts w:ascii="Times New Roman" w:hAnsi="Times New Roman" w:cs="Times New Roman"/>
          <w:sz w:val="24"/>
          <w:szCs w:val="24"/>
        </w:rPr>
        <w:t>Odžavaju</w:t>
      </w:r>
      <w:proofErr w:type="spellEnd"/>
      <w:r w:rsidR="00B21DF8" w:rsidRPr="00B21DF8">
        <w:rPr>
          <w:rFonts w:ascii="Times New Roman" w:hAnsi="Times New Roman" w:cs="Times New Roman"/>
          <w:sz w:val="24"/>
          <w:szCs w:val="24"/>
        </w:rPr>
        <w:t xml:space="preserve"> se redoviti tjedni koordinacijski sastanci na gradilištu kako bi se svi upoznali sa tijekom radova koji teku prema planu te vjerujemo kako će biti i završeni u ugovorom određenom roku. Stručna služba je već 25. studenog 2022. predala</w:t>
      </w:r>
      <w:r w:rsidR="00155733">
        <w:rPr>
          <w:rFonts w:ascii="Times New Roman" w:hAnsi="Times New Roman" w:cs="Times New Roman"/>
          <w:sz w:val="24"/>
          <w:szCs w:val="24"/>
        </w:rPr>
        <w:t xml:space="preserve"> </w:t>
      </w:r>
      <w:r w:rsidR="00B21DF8">
        <w:rPr>
          <w:rFonts w:ascii="Times New Roman" w:hAnsi="Times New Roman" w:cs="Times New Roman"/>
          <w:sz w:val="24"/>
          <w:szCs w:val="24"/>
        </w:rPr>
        <w:t xml:space="preserve">projektantu g. dr.sc. Željku </w:t>
      </w:r>
      <w:proofErr w:type="spellStart"/>
      <w:r w:rsidR="00B21DF8">
        <w:rPr>
          <w:rFonts w:ascii="Times New Roman" w:hAnsi="Times New Roman" w:cs="Times New Roman"/>
          <w:sz w:val="24"/>
          <w:szCs w:val="24"/>
        </w:rPr>
        <w:t>Pekoviću</w:t>
      </w:r>
      <w:proofErr w:type="spellEnd"/>
      <w:r w:rsidR="00B21DF8" w:rsidRPr="00B21DF8">
        <w:rPr>
          <w:rFonts w:ascii="Times New Roman" w:hAnsi="Times New Roman" w:cs="Times New Roman"/>
          <w:sz w:val="24"/>
          <w:szCs w:val="24"/>
        </w:rPr>
        <w:t xml:space="preserve"> prijedlog koncepcije stalnog postava i uređenja Muzeja Mimara te teku </w:t>
      </w:r>
      <w:r w:rsidR="00B21DF8">
        <w:rPr>
          <w:rFonts w:ascii="Times New Roman" w:hAnsi="Times New Roman" w:cs="Times New Roman"/>
          <w:sz w:val="24"/>
          <w:szCs w:val="24"/>
        </w:rPr>
        <w:t>konzultacije</w:t>
      </w:r>
      <w:r w:rsidR="00B21DF8" w:rsidRPr="00B21DF8">
        <w:rPr>
          <w:rFonts w:ascii="Times New Roman" w:hAnsi="Times New Roman" w:cs="Times New Roman"/>
          <w:sz w:val="24"/>
          <w:szCs w:val="24"/>
        </w:rPr>
        <w:t xml:space="preserve"> za taj izuzetno značajan segment radova i priprema.</w:t>
      </w:r>
    </w:p>
    <w:p w14:paraId="69366BB6" w14:textId="77777777" w:rsidR="002D4F7C" w:rsidRDefault="002D4F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CF01A7" w14:textId="131D3105" w:rsidR="002D4F7C" w:rsidRDefault="00E9680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Obrazloženje viška prihoda i</w:t>
      </w:r>
      <w:r w:rsidR="002C49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primitaka</w:t>
      </w:r>
    </w:p>
    <w:p w14:paraId="0B7F4A06" w14:textId="32B652E5" w:rsidR="002D4F7C" w:rsidRDefault="00E968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Ukupni prihodi i primici za prvo polugodište 2024. godine iznose 12.731.864,25 eura (index 262,3) te u odnosu s ukupno izvršenim rashodima i izdacima koji su iskazani u iznosu od 2.932.980,64 eura (index 69,0) daju višak prihoda tekuće godine u iznosu od 9.798.883,61 euro (index 1.622,6). Tako iskazanom višku prihoda tekuće godine treba dodati višak  prihoda i primitaka prenesen iz prethodnih godina u iznosu od  380.184,78 eura na taj način utvrđen je ukupan višak prihoda i primitaka u iznosu od  10.179.068,39 eura koji će se koristiti za plaćanje rashoda za izvršene građevinske radove na obnovi zgrade muzeja tijekom godine, budući  da </w:t>
      </w:r>
      <w:r>
        <w:rPr>
          <w:rFonts w:ascii="Times New Roman" w:hAnsi="Times New Roman"/>
          <w:sz w:val="24"/>
          <w:szCs w:val="24"/>
        </w:rPr>
        <w:lastRenderedPageBreak/>
        <w:t>sredstva namjenski i potje</w:t>
      </w:r>
      <w:r w:rsidR="0033202F">
        <w:rPr>
          <w:rFonts w:ascii="Times New Roman" w:hAnsi="Times New Roman"/>
          <w:sz w:val="24"/>
          <w:szCs w:val="24"/>
        </w:rPr>
        <w:t>č</w:t>
      </w:r>
      <w:r>
        <w:rPr>
          <w:rFonts w:ascii="Times New Roman" w:hAnsi="Times New Roman"/>
          <w:sz w:val="24"/>
          <w:szCs w:val="24"/>
        </w:rPr>
        <w:t>u od isplaćenog avansa po IV Dodatku ugovora za financiranje operacije obnove i zaštite zgrade muzeja.</w:t>
      </w:r>
    </w:p>
    <w:p w14:paraId="2D47804D" w14:textId="77777777" w:rsidR="002D4F7C" w:rsidRDefault="002D4F7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11E5B0" w14:textId="77777777" w:rsidR="002D4F7C" w:rsidRDefault="002D4F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A55100" w14:textId="54C89BDC" w:rsidR="002D4F7C" w:rsidRDefault="00984FA4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v.d. </w:t>
      </w:r>
      <w:r w:rsidR="00E96805">
        <w:rPr>
          <w:rFonts w:ascii="Times New Roman" w:hAnsi="Times New Roman" w:cs="Times New Roman"/>
          <w:sz w:val="24"/>
          <w:szCs w:val="24"/>
        </w:rPr>
        <w:t>Ravnateljica Muzeja Mimara:</w:t>
      </w:r>
    </w:p>
    <w:p w14:paraId="29215274" w14:textId="77777777" w:rsidR="002D4F7C" w:rsidRDefault="002D4F7C">
      <w:pPr>
        <w:ind w:left="5664"/>
        <w:rPr>
          <w:rFonts w:ascii="Times New Roman" w:hAnsi="Times New Roman" w:cs="Times New Roman"/>
          <w:sz w:val="24"/>
          <w:szCs w:val="24"/>
        </w:rPr>
      </w:pPr>
    </w:p>
    <w:p w14:paraId="7E6503BA" w14:textId="77777777" w:rsidR="002D4F7C" w:rsidRDefault="00E96805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44D03BD" w14:textId="2F1036F1" w:rsidR="002D4F7C" w:rsidRDefault="00E96805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sc. Lada Ratković Bukovčan</w:t>
      </w:r>
    </w:p>
    <w:sectPr w:rsidR="002D4F7C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F7C"/>
    <w:rsid w:val="00004E3D"/>
    <w:rsid w:val="00155733"/>
    <w:rsid w:val="00183FD7"/>
    <w:rsid w:val="001C2C28"/>
    <w:rsid w:val="002C4972"/>
    <w:rsid w:val="002D4F7C"/>
    <w:rsid w:val="0033202F"/>
    <w:rsid w:val="00455C1F"/>
    <w:rsid w:val="00504DF1"/>
    <w:rsid w:val="005B55BE"/>
    <w:rsid w:val="005E3B69"/>
    <w:rsid w:val="0066563A"/>
    <w:rsid w:val="00754A51"/>
    <w:rsid w:val="00984FA4"/>
    <w:rsid w:val="00B21DF8"/>
    <w:rsid w:val="00D90DD9"/>
    <w:rsid w:val="00E96805"/>
    <w:rsid w:val="00EA4217"/>
    <w:rsid w:val="00F0775B"/>
    <w:rsid w:val="00F9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F08B"/>
  <w15:docId w15:val="{626590B6-44B3-4201-9DD4-1CF2CC1C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Ladar</cp:lastModifiedBy>
  <cp:revision>14</cp:revision>
  <dcterms:created xsi:type="dcterms:W3CDTF">2024-07-05T10:14:00Z</dcterms:created>
  <dcterms:modified xsi:type="dcterms:W3CDTF">2024-07-05T12:02:00Z</dcterms:modified>
  <dc:language>hr-HR</dc:language>
</cp:coreProperties>
</file>